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6321E15A" w14:textId="77777777" w:rsidR="00F937EF" w:rsidRDefault="00F937EF" w:rsidP="00F937EF">
            <w:pPr>
              <w:jc w:val="center"/>
              <w:rPr>
                <w:rFonts w:ascii="Times New Roman" w:hAnsi="Times New Roman" w:cs="Times New Roman"/>
                <w:sz w:val="14"/>
                <w:szCs w:val="14"/>
                <w:lang w:val="tr-TR"/>
              </w:rPr>
            </w:pPr>
          </w:p>
          <w:p w14:paraId="7F9AC5DA" w14:textId="1A44F96F" w:rsidR="00B828BC" w:rsidRPr="00C86804" w:rsidRDefault="00F937EF" w:rsidP="00F937EF">
            <w:pPr>
              <w:jc w:val="center"/>
              <w:rPr>
                <w:rFonts w:ascii="Times New Roman" w:hAnsi="Times New Roman" w:cs="Times New Roman"/>
                <w:sz w:val="14"/>
                <w:szCs w:val="14"/>
                <w:lang w:val="tr-TR"/>
              </w:rPr>
            </w:pPr>
            <w:bookmarkStart w:id="0" w:name="_GoBack"/>
            <w:bookmarkEnd w:id="0"/>
            <w:r>
              <w:rPr>
                <w:rFonts w:ascii="Times New Roman" w:hAnsi="Times New Roman" w:cs="Times New Roman"/>
                <w:sz w:val="14"/>
                <w:szCs w:val="14"/>
                <w:lang w:val="tr-TR"/>
              </w:rPr>
              <w:t>PAYAS MESLEKİ VE TEKNİK ANADOLU LİSESİ</w:t>
            </w: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w:t>
      </w:r>
      <w:proofErr w:type="gramStart"/>
      <w:r w:rsidRPr="00FC40C9">
        <w:rPr>
          <w:rFonts w:ascii="Times New Roman" w:hAnsi="Times New Roman" w:cs="Times New Roman"/>
          <w:sz w:val="24"/>
          <w:szCs w:val="24"/>
        </w:rPr>
        <w:t>denizcilik</w:t>
      </w:r>
      <w:proofErr w:type="gramEnd"/>
      <w:r w:rsidRPr="00FC40C9">
        <w:rPr>
          <w:rFonts w:ascii="Times New Roman" w:hAnsi="Times New Roman" w:cs="Times New Roman"/>
          <w:sz w:val="24"/>
          <w:szCs w:val="24"/>
        </w:rPr>
        <w:t>,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w:t>
      </w:r>
      <w:proofErr w:type="gramStart"/>
      <w:r w:rsidR="007043AD" w:rsidRPr="00FC40C9">
        <w:rPr>
          <w:rFonts w:ascii="Times New Roman" w:hAnsi="Times New Roman" w:cs="Times New Roman"/>
          <w:sz w:val="24"/>
          <w:szCs w:val="24"/>
        </w:rPr>
        <w:t>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w:t>
      </w:r>
      <w:proofErr w:type="gramEnd"/>
      <w:r w:rsidR="007043AD" w:rsidRPr="00FC40C9">
        <w:rPr>
          <w:rFonts w:ascii="Times New Roman" w:hAnsi="Times New Roman" w:cs="Times New Roman"/>
          <w:sz w:val="24"/>
          <w:szCs w:val="24"/>
        </w:rPr>
        <w:t>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roofErr w:type="gramEnd"/>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%15)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%50)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roofErr w:type="gramEnd"/>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proofErr w:type="gramStart"/>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roofErr w:type="gramEnd"/>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xml:space="preserve">- (1) </w:t>
      </w:r>
      <w:proofErr w:type="gramStart"/>
      <w:r w:rsidR="00601E62"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99A7" w14:textId="77777777" w:rsidR="00B10CBD" w:rsidRDefault="00B10CBD" w:rsidP="002E58F0">
      <w:pPr>
        <w:spacing w:after="0" w:line="240" w:lineRule="auto"/>
      </w:pPr>
      <w:r>
        <w:separator/>
      </w:r>
    </w:p>
  </w:endnote>
  <w:endnote w:type="continuationSeparator" w:id="0">
    <w:p w14:paraId="180AB300" w14:textId="77777777" w:rsidR="00B10CBD" w:rsidRDefault="00B10CBD"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7699"/>
      <w:docPartObj>
        <w:docPartGallery w:val="Page Numbers (Bottom of Page)"/>
        <w:docPartUnique/>
      </w:docPartObj>
    </w:sdtPr>
    <w:sdtEndPr/>
    <w:sdtContent>
      <w:p w14:paraId="15793C98" w14:textId="662DC125" w:rsidR="00932FCE" w:rsidRDefault="00932FCE">
        <w:pPr>
          <w:pStyle w:val="AltBilgi"/>
          <w:jc w:val="center"/>
        </w:pPr>
        <w:r>
          <w:fldChar w:fldCharType="begin"/>
        </w:r>
        <w:r>
          <w:instrText>PAGE   \* MERGEFORMAT</w:instrText>
        </w:r>
        <w:r>
          <w:fldChar w:fldCharType="separate"/>
        </w:r>
        <w:r w:rsidR="00F937EF">
          <w:rPr>
            <w:noProof/>
          </w:rPr>
          <w:t>8</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19886" w14:textId="77777777" w:rsidR="00B10CBD" w:rsidRDefault="00B10CBD" w:rsidP="002E58F0">
      <w:pPr>
        <w:spacing w:after="0" w:line="240" w:lineRule="auto"/>
      </w:pPr>
      <w:r>
        <w:separator/>
      </w:r>
    </w:p>
  </w:footnote>
  <w:footnote w:type="continuationSeparator" w:id="0">
    <w:p w14:paraId="5F0E14B6" w14:textId="77777777" w:rsidR="00B10CBD" w:rsidRDefault="00B10CBD"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4E8B"/>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D742E"/>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0CBD"/>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76C86"/>
    <w:rsid w:val="00F86E72"/>
    <w:rsid w:val="00F8709D"/>
    <w:rsid w:val="00F91E75"/>
    <w:rsid w:val="00F937EF"/>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3146-9BAF-4DC8-9F7C-46DFD559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4405</Words>
  <Characters>25112</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MdrYrdNuhBey</cp:lastModifiedBy>
  <cp:revision>5</cp:revision>
  <cp:lastPrinted>2024-07-01T08:22:00Z</cp:lastPrinted>
  <dcterms:created xsi:type="dcterms:W3CDTF">2024-05-29T10:25:00Z</dcterms:created>
  <dcterms:modified xsi:type="dcterms:W3CDTF">2024-07-01T08:49:00Z</dcterms:modified>
</cp:coreProperties>
</file>